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69757" w14:textId="77777777" w:rsidR="00A5174C" w:rsidRPr="00E866DA" w:rsidRDefault="00A5174C" w:rsidP="00A5174C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866DA">
        <w:rPr>
          <w:rFonts w:ascii="Arial" w:hAnsi="Arial" w:cs="Arial"/>
          <w:sz w:val="22"/>
          <w:szCs w:val="22"/>
        </w:rPr>
        <w:t>Chascomús, 19 de noviembre de 2025</w:t>
      </w:r>
    </w:p>
    <w:p w14:paraId="74CFD813" w14:textId="77777777" w:rsidR="00865033" w:rsidRPr="00E866DA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E866DA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0055E5BA" w14:textId="4DE8CA11" w:rsidR="00E866DA" w:rsidRPr="00E866DA" w:rsidRDefault="00E866DA" w:rsidP="00E866DA">
      <w:pPr>
        <w:spacing w:after="240" w:line="360" w:lineRule="auto"/>
        <w:ind w:firstLine="851"/>
        <w:jc w:val="both"/>
        <w:rPr>
          <w:rFonts w:ascii="Arial" w:hAnsi="Arial" w:cs="Arial"/>
          <w:lang w:val="es-AR"/>
        </w:rPr>
      </w:pPr>
      <w:r w:rsidRPr="00E866DA">
        <w:rPr>
          <w:rFonts w:ascii="Arial" w:hAnsi="Arial" w:cs="Arial"/>
          <w:lang w:val="es-AR"/>
        </w:rPr>
        <w:t xml:space="preserve">El Expediente Administrativo N° 4030-167306/M, caratulado “BAJA DE (4) MOTOCICLETAS AFECTADAS AL USO MUNICIPAL POR SITUACION DE DESGASTE /REZAGO”, iniciado por la Dirección de Patrimonio, y                 </w:t>
      </w:r>
    </w:p>
    <w:p w14:paraId="19C0FE67" w14:textId="55FDEF99" w:rsidR="00865033" w:rsidRPr="00E866DA" w:rsidRDefault="00865033" w:rsidP="00A5174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E866DA">
        <w:rPr>
          <w:rStyle w:val="Textoennegrita"/>
          <w:rFonts w:ascii="Arial" w:hAnsi="Arial" w:cs="Arial"/>
          <w:sz w:val="22"/>
          <w:szCs w:val="22"/>
          <w:u w:val="single"/>
        </w:rPr>
        <w:t>CONSIDERANDO</w:t>
      </w:r>
      <w:r w:rsidR="0067308E" w:rsidRPr="00E866DA">
        <w:rPr>
          <w:rStyle w:val="Textoennegrita"/>
          <w:rFonts w:ascii="Arial" w:hAnsi="Arial" w:cs="Arial"/>
          <w:sz w:val="22"/>
          <w:szCs w:val="22"/>
          <w:u w:val="single"/>
        </w:rPr>
        <w:t>:</w:t>
      </w:r>
    </w:p>
    <w:p w14:paraId="49F9ADB6" w14:textId="189DF50E" w:rsidR="00E866DA" w:rsidRPr="00E866DA" w:rsidRDefault="00E866DA" w:rsidP="00E866DA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Que mediante Decreto N° 635/2020, de fecha 26 de noviembre de 2020, se procedió a la afectación al uso municipal de 4 (cuatro) motocicletas: </w:t>
      </w:r>
    </w:p>
    <w:p w14:paraId="64330614" w14:textId="7E09BED6" w:rsidR="00E866DA" w:rsidRPr="00E866DA" w:rsidRDefault="00E866DA" w:rsidP="00E866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Marca </w:t>
      </w:r>
      <w:proofErr w:type="spellStart"/>
      <w:r w:rsidRPr="00E866DA">
        <w:rPr>
          <w:rFonts w:ascii="Arial" w:hAnsi="Arial" w:cs="Arial"/>
          <w:sz w:val="22"/>
          <w:szCs w:val="22"/>
        </w:rPr>
        <w:t>Gilera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, Modelo </w:t>
      </w:r>
      <w:proofErr w:type="spellStart"/>
      <w:r w:rsidRPr="00E866DA">
        <w:rPr>
          <w:rFonts w:ascii="Arial" w:hAnsi="Arial" w:cs="Arial"/>
          <w:sz w:val="22"/>
          <w:szCs w:val="22"/>
        </w:rPr>
        <w:t>Smash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, Año 2012, Dominio 287HVF </w:t>
      </w:r>
    </w:p>
    <w:p w14:paraId="202F52D0" w14:textId="1591FEC3" w:rsidR="00E866DA" w:rsidRPr="00E866DA" w:rsidRDefault="00E866DA" w:rsidP="00E866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Marca Yamaha, modelo YBR125, Año 2008, Dominio 099DVT </w:t>
      </w:r>
    </w:p>
    <w:p w14:paraId="62227B46" w14:textId="26120D33" w:rsidR="00E866DA" w:rsidRPr="00E866DA" w:rsidRDefault="00E866DA" w:rsidP="00E866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Marca </w:t>
      </w:r>
      <w:proofErr w:type="spellStart"/>
      <w:r w:rsidRPr="00E866DA">
        <w:rPr>
          <w:rFonts w:ascii="Arial" w:hAnsi="Arial" w:cs="Arial"/>
          <w:sz w:val="22"/>
          <w:szCs w:val="22"/>
        </w:rPr>
        <w:t>Zanella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, Modelo RX150, Año 2016, Dominio A002NVM </w:t>
      </w:r>
    </w:p>
    <w:p w14:paraId="6F739618" w14:textId="6E5A601B" w:rsidR="00E866DA" w:rsidRPr="00E866DA" w:rsidRDefault="00E866DA" w:rsidP="00E866D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Marca </w:t>
      </w:r>
      <w:proofErr w:type="spellStart"/>
      <w:r w:rsidRPr="00E866DA">
        <w:rPr>
          <w:rFonts w:ascii="Arial" w:hAnsi="Arial" w:cs="Arial"/>
          <w:sz w:val="22"/>
          <w:szCs w:val="22"/>
        </w:rPr>
        <w:t>Zanella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, Modelo RX150, Año 2012, Dominio 705INA   </w:t>
      </w:r>
    </w:p>
    <w:p w14:paraId="405202D7" w14:textId="61E269FE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>Que los mismos fueron inscriptos en el Registro de Vehículos conforme lo dispuesto por la Ley 14</w:t>
      </w:r>
      <w:r w:rsidR="008B6E8F">
        <w:rPr>
          <w:rFonts w:ascii="Arial" w:hAnsi="Arial" w:cs="Arial"/>
          <w:sz w:val="22"/>
          <w:szCs w:val="22"/>
        </w:rPr>
        <w:t>.</w:t>
      </w:r>
      <w:r w:rsidRPr="00E866DA">
        <w:rPr>
          <w:rFonts w:ascii="Arial" w:hAnsi="Arial" w:cs="Arial"/>
          <w:sz w:val="22"/>
          <w:szCs w:val="22"/>
        </w:rPr>
        <w:t>547.</w:t>
      </w:r>
    </w:p>
    <w:p w14:paraId="2543D024" w14:textId="37902281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Que a fojas 7 del expediente administrativo obra ME -2025-00022662- CHASCOMUS-SSS#SSC informando la Secretaria de Seguridad Ciudadana que “los vehículos </w:t>
      </w:r>
      <w:proofErr w:type="spellStart"/>
      <w:r w:rsidRPr="00E866DA">
        <w:rPr>
          <w:rFonts w:ascii="Arial" w:hAnsi="Arial" w:cs="Arial"/>
          <w:sz w:val="22"/>
          <w:szCs w:val="22"/>
        </w:rPr>
        <w:t>Gilera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66DA">
        <w:rPr>
          <w:rFonts w:ascii="Arial" w:hAnsi="Arial" w:cs="Arial"/>
          <w:sz w:val="22"/>
          <w:szCs w:val="22"/>
        </w:rPr>
        <w:t>Smash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 Modelo 2012 Dominio 287HVF; Yamaha YBR125 Modelo 2008 Dominio  099DVT, </w:t>
      </w:r>
      <w:proofErr w:type="spellStart"/>
      <w:r w:rsidRPr="00E866DA">
        <w:rPr>
          <w:rFonts w:ascii="Arial" w:hAnsi="Arial" w:cs="Arial"/>
          <w:sz w:val="22"/>
          <w:szCs w:val="22"/>
        </w:rPr>
        <w:t>Zanella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 RX150 Modelo 2016 A002NVM, y </w:t>
      </w:r>
      <w:proofErr w:type="spellStart"/>
      <w:r w:rsidRPr="00E866DA">
        <w:rPr>
          <w:rFonts w:ascii="Arial" w:hAnsi="Arial" w:cs="Arial"/>
          <w:sz w:val="22"/>
          <w:szCs w:val="22"/>
        </w:rPr>
        <w:t>Zanella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 RX150 Modelo 2012 Dominio 705INA,  no se encuentran en condiciones de ser utilizados y circular siendo su acondicionamiento de alto costo”, solicitando por razón de desgaste/rezago la desafectación del uso municipal, quedando los mismos en los depósitos municipales (ver orden 17). </w:t>
      </w:r>
    </w:p>
    <w:p w14:paraId="3594CD58" w14:textId="1FA942C3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 xml:space="preserve">Que la Dirección de Patrimonio mediante ME 2025-00037907-CHASCOMUS - DPAT#SH solicita  “se proceda a retirar las cuatro (4) motocicletas detalladas del Registro de Vehículos aptos para rodar creado por Decreto Nro. 635/2020 así como desafectarlo del uso municipal” haciendo saber  la  Dirección de Patrimonio  que la afectación del moto vehículo </w:t>
      </w:r>
      <w:proofErr w:type="spellStart"/>
      <w:r w:rsidRPr="00E866DA">
        <w:rPr>
          <w:rFonts w:ascii="Arial" w:hAnsi="Arial" w:cs="Arial"/>
          <w:sz w:val="22"/>
          <w:szCs w:val="22"/>
        </w:rPr>
        <w:t>Zanella</w:t>
      </w:r>
      <w:proofErr w:type="spellEnd"/>
      <w:r w:rsidRPr="00E866DA">
        <w:rPr>
          <w:rFonts w:ascii="Arial" w:hAnsi="Arial" w:cs="Arial"/>
          <w:sz w:val="22"/>
          <w:szCs w:val="22"/>
        </w:rPr>
        <w:t xml:space="preserve"> RX150 Dominio A0002NVM  se encuentra  en trámite de afectación. (ver fs. 19) </w:t>
      </w:r>
    </w:p>
    <w:p w14:paraId="289681C3" w14:textId="64133617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lastRenderedPageBreak/>
        <w:t xml:space="preserve">Que la Dirección de Asuntos Legales ha Dictaminado que corresponde proceder a la desafectación y a la baja del inventario de las motocicletas.  </w:t>
      </w:r>
    </w:p>
    <w:p w14:paraId="0DC01ECF" w14:textId="77777777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>Que conforme los arts. 167 y 168 de la LOM, la contabilidad municipal tendrá por base al inventario general de bienes debiéndose registrar las bajas y altas de inventario.</w:t>
      </w:r>
    </w:p>
    <w:p w14:paraId="1E6A9BAE" w14:textId="59AE6BDF" w:rsidR="00E866DA" w:rsidRPr="00E866DA" w:rsidRDefault="00E866DA" w:rsidP="00E866DA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>Que corresponde al Departamento Deliberativo autorizar la baja de Bienes Municipales según la L.O.M</w:t>
      </w:r>
    </w:p>
    <w:p w14:paraId="49E5AA53" w14:textId="77777777" w:rsidR="00074DA9" w:rsidRPr="00E866DA" w:rsidRDefault="00074DA9" w:rsidP="00074DA9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866DA">
        <w:rPr>
          <w:rFonts w:ascii="Arial" w:hAnsi="Arial" w:cs="Arial"/>
          <w:sz w:val="22"/>
          <w:szCs w:val="22"/>
        </w:rPr>
        <w:t>Por ello, el Intendente Municipal, en uso de sus atribuciones, eleva el siguiente proyecto de</w:t>
      </w:r>
      <w:r w:rsidRPr="00E866DA">
        <w:rPr>
          <w:rFonts w:ascii="Arial" w:hAnsi="Arial" w:cs="Arial"/>
          <w:sz w:val="22"/>
          <w:szCs w:val="22"/>
        </w:rPr>
        <w:tab/>
      </w:r>
    </w:p>
    <w:p w14:paraId="4703537C" w14:textId="77777777" w:rsidR="007E0368" w:rsidRPr="00E866DA" w:rsidRDefault="007E0368" w:rsidP="001D136D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  <w:lang w:val="es-AR" w:eastAsia="es-AR"/>
        </w:rPr>
      </w:pPr>
      <w:r w:rsidRPr="00E866DA">
        <w:rPr>
          <w:rFonts w:ascii="Arial" w:eastAsia="Arial" w:hAnsi="Arial" w:cs="Arial"/>
          <w:b/>
          <w:u w:val="single"/>
          <w:lang w:val="es-AR" w:eastAsia="es-AR"/>
        </w:rPr>
        <w:t>ORDENANZA</w:t>
      </w:r>
    </w:p>
    <w:p w14:paraId="09D922AC" w14:textId="15949CE0" w:rsidR="00E866DA" w:rsidRPr="00E866DA" w:rsidRDefault="00074DA9" w:rsidP="00FC2F3B">
      <w:pPr>
        <w:spacing w:after="0" w:line="360" w:lineRule="auto"/>
        <w:jc w:val="both"/>
        <w:rPr>
          <w:rFonts w:ascii="Arial" w:hAnsi="Arial" w:cs="Arial"/>
          <w:lang w:val="es-AR"/>
        </w:rPr>
      </w:pPr>
      <w:r w:rsidRPr="00E866DA">
        <w:rPr>
          <w:rStyle w:val="Textoennegrita"/>
          <w:rFonts w:ascii="Arial" w:hAnsi="Arial" w:cs="Arial"/>
          <w:u w:val="single"/>
          <w:lang w:val="es-AR"/>
        </w:rPr>
        <w:t>ARTÍCULO 1°:</w:t>
      </w:r>
      <w:r w:rsidRPr="00E866DA">
        <w:rPr>
          <w:rStyle w:val="Textoennegrita"/>
          <w:rFonts w:ascii="Arial" w:hAnsi="Arial" w:cs="Arial"/>
          <w:b w:val="0"/>
          <w:lang w:val="es-AR"/>
        </w:rPr>
        <w:t xml:space="preserve"> </w:t>
      </w:r>
      <w:r w:rsidR="00E866DA" w:rsidRPr="00E866DA">
        <w:rPr>
          <w:rFonts w:ascii="Arial" w:eastAsia="Times New Roman" w:hAnsi="Arial" w:cs="Arial"/>
          <w:color w:val="000000"/>
          <w:lang w:val="es-AR" w:eastAsia="es-ES"/>
        </w:rPr>
        <w:t>Autorícese al Departamento Ejecutivo a proceder a la desafectación  del uso municipal  y baja del inventario  de  cuatro (4) motocicletas</w:t>
      </w:r>
      <w:r w:rsidR="00E866DA" w:rsidRPr="00E866DA">
        <w:rPr>
          <w:rFonts w:ascii="Arial" w:hAnsi="Arial" w:cs="Arial"/>
          <w:lang w:val="es-AR"/>
        </w:rPr>
        <w:t xml:space="preserve"> detalladas a continuación, las cuales quedaran en depósito Municipal, </w:t>
      </w:r>
      <w:r w:rsidR="00E866DA" w:rsidRPr="00E866DA">
        <w:rPr>
          <w:rFonts w:ascii="Arial" w:eastAsia="Times New Roman" w:hAnsi="Arial" w:cs="Arial"/>
          <w:color w:val="000000"/>
          <w:lang w:val="es-AR" w:eastAsia="es-ES"/>
        </w:rPr>
        <w:t>atento a las consideraciones expuestas en el exordio.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36"/>
        <w:gridCol w:w="2237"/>
        <w:gridCol w:w="2236"/>
        <w:gridCol w:w="2237"/>
      </w:tblGrid>
      <w:tr w:rsidR="00E866DA" w:rsidRPr="00E866DA" w14:paraId="6C544000" w14:textId="77777777" w:rsidTr="008B6E8F">
        <w:tc>
          <w:tcPr>
            <w:tcW w:w="2236" w:type="dxa"/>
            <w:shd w:val="clear" w:color="auto" w:fill="BFBFBF" w:themeFill="background1" w:themeFillShade="BF"/>
          </w:tcPr>
          <w:p w14:paraId="0077ABC6" w14:textId="77777777" w:rsidR="00E866DA" w:rsidRPr="008B6E8F" w:rsidRDefault="00E866DA" w:rsidP="00FC2F3B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  <w:r w:rsidRPr="008B6E8F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2237" w:type="dxa"/>
            <w:shd w:val="clear" w:color="auto" w:fill="BFBFBF" w:themeFill="background1" w:themeFillShade="BF"/>
          </w:tcPr>
          <w:p w14:paraId="0A058467" w14:textId="77777777" w:rsidR="00E866DA" w:rsidRPr="008B6E8F" w:rsidRDefault="00E866DA" w:rsidP="00FC2F3B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  <w:r w:rsidRPr="008B6E8F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2236" w:type="dxa"/>
            <w:shd w:val="clear" w:color="auto" w:fill="BFBFBF" w:themeFill="background1" w:themeFillShade="BF"/>
          </w:tcPr>
          <w:p w14:paraId="10B5231D" w14:textId="77777777" w:rsidR="00E866DA" w:rsidRPr="008B6E8F" w:rsidRDefault="00E866DA" w:rsidP="00FC2F3B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  <w:r w:rsidRPr="008B6E8F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2237" w:type="dxa"/>
            <w:shd w:val="clear" w:color="auto" w:fill="BFBFBF" w:themeFill="background1" w:themeFillShade="BF"/>
          </w:tcPr>
          <w:p w14:paraId="1010B74A" w14:textId="77777777" w:rsidR="00E866DA" w:rsidRPr="008B6E8F" w:rsidRDefault="00E866DA" w:rsidP="00FC2F3B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  <w:r w:rsidRPr="008B6E8F">
              <w:rPr>
                <w:rFonts w:ascii="Arial" w:hAnsi="Arial" w:cs="Arial"/>
                <w:b/>
              </w:rPr>
              <w:t>Dominio</w:t>
            </w:r>
          </w:p>
        </w:tc>
      </w:tr>
      <w:tr w:rsidR="00E866DA" w:rsidRPr="00E866DA" w14:paraId="0580ED91" w14:textId="77777777" w:rsidTr="00E866DA">
        <w:tc>
          <w:tcPr>
            <w:tcW w:w="2236" w:type="dxa"/>
          </w:tcPr>
          <w:p w14:paraId="77282556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proofErr w:type="spellStart"/>
            <w:r w:rsidRPr="00E866DA">
              <w:rPr>
                <w:rFonts w:ascii="Arial" w:hAnsi="Arial" w:cs="Arial"/>
              </w:rPr>
              <w:t>Gilera</w:t>
            </w:r>
            <w:proofErr w:type="spellEnd"/>
          </w:p>
        </w:tc>
        <w:tc>
          <w:tcPr>
            <w:tcW w:w="2237" w:type="dxa"/>
          </w:tcPr>
          <w:p w14:paraId="5A2D5B09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proofErr w:type="spellStart"/>
            <w:r w:rsidRPr="00E866DA">
              <w:rPr>
                <w:rFonts w:ascii="Arial" w:hAnsi="Arial" w:cs="Arial"/>
              </w:rPr>
              <w:t>Smash</w:t>
            </w:r>
            <w:proofErr w:type="spellEnd"/>
          </w:p>
        </w:tc>
        <w:tc>
          <w:tcPr>
            <w:tcW w:w="2236" w:type="dxa"/>
          </w:tcPr>
          <w:p w14:paraId="190A5FC8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2012</w:t>
            </w:r>
          </w:p>
        </w:tc>
        <w:tc>
          <w:tcPr>
            <w:tcW w:w="2237" w:type="dxa"/>
          </w:tcPr>
          <w:p w14:paraId="3E094AA2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287HVF</w:t>
            </w:r>
          </w:p>
        </w:tc>
      </w:tr>
      <w:tr w:rsidR="00E866DA" w:rsidRPr="00E866DA" w14:paraId="386DBB41" w14:textId="77777777" w:rsidTr="00E866DA">
        <w:tc>
          <w:tcPr>
            <w:tcW w:w="2236" w:type="dxa"/>
          </w:tcPr>
          <w:p w14:paraId="3E267671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Yamaha</w:t>
            </w:r>
          </w:p>
        </w:tc>
        <w:tc>
          <w:tcPr>
            <w:tcW w:w="2237" w:type="dxa"/>
          </w:tcPr>
          <w:p w14:paraId="649AB1AD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YBR125</w:t>
            </w:r>
          </w:p>
        </w:tc>
        <w:tc>
          <w:tcPr>
            <w:tcW w:w="2236" w:type="dxa"/>
          </w:tcPr>
          <w:p w14:paraId="1D9F37E1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2008</w:t>
            </w:r>
          </w:p>
        </w:tc>
        <w:tc>
          <w:tcPr>
            <w:tcW w:w="2237" w:type="dxa"/>
          </w:tcPr>
          <w:p w14:paraId="002F7A26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099DVT</w:t>
            </w:r>
          </w:p>
        </w:tc>
      </w:tr>
      <w:tr w:rsidR="00E866DA" w:rsidRPr="00E866DA" w14:paraId="7EDF83A1" w14:textId="77777777" w:rsidTr="00E866DA">
        <w:tc>
          <w:tcPr>
            <w:tcW w:w="2236" w:type="dxa"/>
          </w:tcPr>
          <w:p w14:paraId="64B56FF9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proofErr w:type="spellStart"/>
            <w:r w:rsidRPr="00E866DA">
              <w:rPr>
                <w:rFonts w:ascii="Arial" w:hAnsi="Arial" w:cs="Arial"/>
              </w:rPr>
              <w:t>Zanella</w:t>
            </w:r>
            <w:proofErr w:type="spellEnd"/>
          </w:p>
        </w:tc>
        <w:tc>
          <w:tcPr>
            <w:tcW w:w="2237" w:type="dxa"/>
          </w:tcPr>
          <w:p w14:paraId="1F959700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RX150</w:t>
            </w:r>
          </w:p>
        </w:tc>
        <w:tc>
          <w:tcPr>
            <w:tcW w:w="2236" w:type="dxa"/>
          </w:tcPr>
          <w:p w14:paraId="48CE91EC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2016</w:t>
            </w:r>
          </w:p>
        </w:tc>
        <w:tc>
          <w:tcPr>
            <w:tcW w:w="2237" w:type="dxa"/>
          </w:tcPr>
          <w:p w14:paraId="37C0EA0B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A002NVM</w:t>
            </w:r>
          </w:p>
        </w:tc>
      </w:tr>
      <w:tr w:rsidR="00E866DA" w:rsidRPr="00E866DA" w14:paraId="5B433648" w14:textId="77777777" w:rsidTr="00E866DA">
        <w:tc>
          <w:tcPr>
            <w:tcW w:w="2236" w:type="dxa"/>
          </w:tcPr>
          <w:p w14:paraId="5FC9BD4F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proofErr w:type="spellStart"/>
            <w:r w:rsidRPr="00E866DA">
              <w:rPr>
                <w:rFonts w:ascii="Arial" w:hAnsi="Arial" w:cs="Arial"/>
              </w:rPr>
              <w:t>Zanella</w:t>
            </w:r>
            <w:proofErr w:type="spellEnd"/>
          </w:p>
        </w:tc>
        <w:tc>
          <w:tcPr>
            <w:tcW w:w="2237" w:type="dxa"/>
          </w:tcPr>
          <w:p w14:paraId="5970696C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RX150</w:t>
            </w:r>
          </w:p>
        </w:tc>
        <w:tc>
          <w:tcPr>
            <w:tcW w:w="2236" w:type="dxa"/>
          </w:tcPr>
          <w:p w14:paraId="48893963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2012</w:t>
            </w:r>
          </w:p>
        </w:tc>
        <w:tc>
          <w:tcPr>
            <w:tcW w:w="2237" w:type="dxa"/>
          </w:tcPr>
          <w:p w14:paraId="536B6D0C" w14:textId="77777777" w:rsidR="00E866DA" w:rsidRPr="00E866DA" w:rsidRDefault="00E866DA" w:rsidP="00FC2F3B">
            <w:pPr>
              <w:spacing w:before="30" w:after="30"/>
              <w:jc w:val="center"/>
              <w:rPr>
                <w:rFonts w:ascii="Arial" w:hAnsi="Arial" w:cs="Arial"/>
              </w:rPr>
            </w:pPr>
            <w:r w:rsidRPr="00E866DA">
              <w:rPr>
                <w:rFonts w:ascii="Arial" w:hAnsi="Arial" w:cs="Arial"/>
              </w:rPr>
              <w:t>705INA</w:t>
            </w:r>
          </w:p>
        </w:tc>
      </w:tr>
    </w:tbl>
    <w:p w14:paraId="454C3A8E" w14:textId="1BD3F26D" w:rsidR="007E0368" w:rsidRPr="00E866DA" w:rsidRDefault="00E866DA" w:rsidP="00FC2F3B">
      <w:pPr>
        <w:pStyle w:val="NormalWeb"/>
        <w:shd w:val="clear" w:color="auto" w:fill="FFFFFF"/>
        <w:spacing w:before="24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ARTÍCULO 2</w:t>
      </w:r>
      <w:r w:rsidR="00074DA9" w:rsidRPr="00E866DA">
        <w:rPr>
          <w:rStyle w:val="Textoennegrita"/>
          <w:rFonts w:ascii="Arial" w:hAnsi="Arial" w:cs="Arial"/>
          <w:sz w:val="22"/>
          <w:szCs w:val="22"/>
          <w:u w:val="single"/>
        </w:rPr>
        <w:t>°:</w:t>
      </w:r>
      <w:r w:rsidR="00074DA9" w:rsidRPr="00E866DA">
        <w:rPr>
          <w:rStyle w:val="Textoennegrita"/>
          <w:rFonts w:ascii="Arial" w:hAnsi="Arial" w:cs="Arial"/>
          <w:b w:val="0"/>
          <w:sz w:val="22"/>
          <w:szCs w:val="22"/>
        </w:rPr>
        <w:t xml:space="preserve"> De forma.</w:t>
      </w:r>
    </w:p>
    <w:p w14:paraId="7DD2F563" w14:textId="22DE5802" w:rsidR="007E0368" w:rsidRPr="00E866DA" w:rsidRDefault="007E0368" w:rsidP="0052519D">
      <w:pPr>
        <w:jc w:val="both"/>
        <w:rPr>
          <w:rFonts w:ascii="Arial" w:hAnsi="Arial" w:cs="Arial"/>
          <w:lang w:val="es-AR"/>
        </w:rPr>
      </w:pPr>
    </w:p>
    <w:p w14:paraId="4CBE56FC" w14:textId="77777777" w:rsidR="00A84A07" w:rsidRPr="00E866DA" w:rsidRDefault="00A84A07" w:rsidP="0052519D">
      <w:pPr>
        <w:jc w:val="both"/>
        <w:rPr>
          <w:rFonts w:ascii="Arial" w:hAnsi="Arial" w:cs="Arial"/>
          <w:b/>
          <w:u w:val="single"/>
          <w:lang w:val="es-AR"/>
        </w:rPr>
      </w:pPr>
    </w:p>
    <w:p w14:paraId="00375A69" w14:textId="77777777" w:rsidR="00E866DA" w:rsidRPr="00E866DA" w:rsidRDefault="00E866DA" w:rsidP="00E866DA">
      <w:pPr>
        <w:spacing w:after="0" w:line="360" w:lineRule="auto"/>
        <w:ind w:left="182"/>
        <w:jc w:val="right"/>
        <w:rPr>
          <w:rFonts w:ascii="Arial" w:eastAsia="Times New Roman" w:hAnsi="Arial" w:cs="Arial"/>
          <w:lang w:val="es-AR" w:eastAsia="es-ES"/>
        </w:rPr>
      </w:pPr>
    </w:p>
    <w:p w14:paraId="5BFF5A62" w14:textId="77777777" w:rsidR="00074DA9" w:rsidRPr="00E866DA" w:rsidRDefault="00074DA9" w:rsidP="0052519D">
      <w:pPr>
        <w:jc w:val="both"/>
        <w:rPr>
          <w:rFonts w:ascii="Arial" w:hAnsi="Arial" w:cs="Arial"/>
          <w:lang w:val="es-AR"/>
        </w:rPr>
      </w:pPr>
    </w:p>
    <w:sectPr w:rsidR="00074DA9" w:rsidRPr="00E866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039E" w14:textId="77777777" w:rsidR="00C46A9E" w:rsidRDefault="00C46A9E" w:rsidP="00865033">
      <w:pPr>
        <w:spacing w:after="0" w:line="240" w:lineRule="auto"/>
      </w:pPr>
      <w:r>
        <w:separator/>
      </w:r>
    </w:p>
  </w:endnote>
  <w:endnote w:type="continuationSeparator" w:id="0">
    <w:p w14:paraId="4B1C8F90" w14:textId="77777777" w:rsidR="00C46A9E" w:rsidRDefault="00C46A9E" w:rsidP="0086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9A33" w14:textId="77777777" w:rsidR="00C46A9E" w:rsidRDefault="00C46A9E" w:rsidP="00865033">
      <w:pPr>
        <w:spacing w:after="0" w:line="240" w:lineRule="auto"/>
      </w:pPr>
      <w:r>
        <w:separator/>
      </w:r>
    </w:p>
  </w:footnote>
  <w:footnote w:type="continuationSeparator" w:id="0">
    <w:p w14:paraId="02E140DC" w14:textId="77777777" w:rsidR="00C46A9E" w:rsidRDefault="00C46A9E" w:rsidP="0086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E2A4" w14:textId="33379514" w:rsidR="000F22B2" w:rsidRDefault="00A5174C">
    <w:pPr>
      <w:pStyle w:val="Encabezado"/>
      <w:rPr>
        <w:lang w:val="es-ES"/>
      </w:rPr>
    </w:pPr>
    <w:r>
      <w:rPr>
        <w:noProof/>
      </w:rPr>
      <w:drawing>
        <wp:inline distT="0" distB="0" distL="0" distR="0" wp14:anchorId="14D1AD37" wp14:editId="00F0DC14">
          <wp:extent cx="5612130" cy="570851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12130" cy="570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E56F81" w14:textId="77777777" w:rsidR="00A5174C" w:rsidRPr="00865033" w:rsidRDefault="00A5174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DF4"/>
    <w:multiLevelType w:val="hybridMultilevel"/>
    <w:tmpl w:val="864A34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792"/>
    <w:multiLevelType w:val="hybridMultilevel"/>
    <w:tmpl w:val="17CAF51C"/>
    <w:lvl w:ilvl="0" w:tplc="5852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632B"/>
    <w:multiLevelType w:val="hybridMultilevel"/>
    <w:tmpl w:val="444C64E6"/>
    <w:lvl w:ilvl="0" w:tplc="2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33"/>
    <w:rsid w:val="00007CA2"/>
    <w:rsid w:val="00021502"/>
    <w:rsid w:val="00074DA9"/>
    <w:rsid w:val="000D650F"/>
    <w:rsid w:val="000F22B2"/>
    <w:rsid w:val="00174FF5"/>
    <w:rsid w:val="0018725B"/>
    <w:rsid w:val="001960E1"/>
    <w:rsid w:val="001A0517"/>
    <w:rsid w:val="001A2A45"/>
    <w:rsid w:val="001D136D"/>
    <w:rsid w:val="001E520B"/>
    <w:rsid w:val="002749C0"/>
    <w:rsid w:val="00276166"/>
    <w:rsid w:val="002F5523"/>
    <w:rsid w:val="003A2047"/>
    <w:rsid w:val="00521527"/>
    <w:rsid w:val="0052519D"/>
    <w:rsid w:val="00527128"/>
    <w:rsid w:val="005D2B74"/>
    <w:rsid w:val="00654D6C"/>
    <w:rsid w:val="006653CD"/>
    <w:rsid w:val="0067308E"/>
    <w:rsid w:val="007C5B85"/>
    <w:rsid w:val="007E0368"/>
    <w:rsid w:val="008350F1"/>
    <w:rsid w:val="00865033"/>
    <w:rsid w:val="008B6E8F"/>
    <w:rsid w:val="008E6C48"/>
    <w:rsid w:val="00954F63"/>
    <w:rsid w:val="009A5BFD"/>
    <w:rsid w:val="00A05CAF"/>
    <w:rsid w:val="00A5174C"/>
    <w:rsid w:val="00A84A07"/>
    <w:rsid w:val="00AC498D"/>
    <w:rsid w:val="00B4694C"/>
    <w:rsid w:val="00BB3CE5"/>
    <w:rsid w:val="00C37F62"/>
    <w:rsid w:val="00C45F84"/>
    <w:rsid w:val="00C46A9E"/>
    <w:rsid w:val="00D30781"/>
    <w:rsid w:val="00E866DA"/>
    <w:rsid w:val="00F618DF"/>
    <w:rsid w:val="00F91FDE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8DEA"/>
  <w15:docId w15:val="{F1E7157B-08BD-4F9A-9F36-6948D3D6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033"/>
  </w:style>
  <w:style w:type="paragraph" w:styleId="Piedepgina">
    <w:name w:val="footer"/>
    <w:basedOn w:val="Normal"/>
    <w:link w:val="PiedepginaCar"/>
    <w:uiPriority w:val="99"/>
    <w:unhideWhenUsed/>
    <w:rsid w:val="0086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033"/>
  </w:style>
  <w:style w:type="character" w:styleId="Hipervnculo">
    <w:name w:val="Hyperlink"/>
    <w:basedOn w:val="Fuentedeprrafopredeter"/>
    <w:uiPriority w:val="99"/>
    <w:semiHidden/>
    <w:unhideWhenUsed/>
    <w:rsid w:val="00174F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4A0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A5174C"/>
    <w:rPr>
      <w:b/>
      <w:bCs/>
    </w:rPr>
  </w:style>
  <w:style w:type="table" w:styleId="Tablaconcuadrcula">
    <w:name w:val="Table Grid"/>
    <w:basedOn w:val="Tablanormal"/>
    <w:uiPriority w:val="39"/>
    <w:rsid w:val="00E866DA"/>
    <w:pPr>
      <w:spacing w:after="0" w:line="240" w:lineRule="auto"/>
    </w:pPr>
    <w:rPr>
      <w:kern w:val="2"/>
      <w:lang w:val="es-A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2025-11-28T11:19:00Z</cp:lastPrinted>
  <dcterms:created xsi:type="dcterms:W3CDTF">2025-12-03T12:24:00Z</dcterms:created>
  <dcterms:modified xsi:type="dcterms:W3CDTF">2025-12-03T12:24:00Z</dcterms:modified>
</cp:coreProperties>
</file>